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C57EA">
        <w:rPr>
          <w:rFonts w:eastAsia="Times New Roman"/>
          <w:kern w:val="1"/>
        </w:rPr>
        <w:t>21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64384C">
        <w:rPr>
          <w:rStyle w:val="Pogrubienie"/>
        </w:rPr>
        <w:t xml:space="preserve"> w </w:t>
      </w:r>
      <w:r w:rsidR="00EC57EA">
        <w:rPr>
          <w:rStyle w:val="Pogrubienie"/>
        </w:rPr>
        <w:t>Izbicy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C57EA">
        <w:rPr>
          <w:rFonts w:eastAsia="Times New Roman" w:cs="Arial"/>
          <w:bCs/>
          <w:kern w:val="1"/>
        </w:rPr>
        <w:t xml:space="preserve"> terminie: sierpień </w:t>
      </w:r>
      <w:bookmarkStart w:id="1" w:name="_GoBack"/>
      <w:bookmarkEnd w:id="1"/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EC57EA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EC57EA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0623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4E34AD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4C3B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C57EA"/>
    <w:rsid w:val="00ED0340"/>
    <w:rsid w:val="00ED2B9D"/>
    <w:rsid w:val="00ED347E"/>
    <w:rsid w:val="00EF6D48"/>
    <w:rsid w:val="00EF742E"/>
    <w:rsid w:val="00F0042A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2019-07-31T12:24:00Z</dcterms:created>
  <dcterms:modified xsi:type="dcterms:W3CDTF">2019-07-31T12:24:00Z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